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5649" w14:textId="724089AF" w:rsidR="0025646E" w:rsidRDefault="00E75D58" w:rsidP="0025646E">
      <w:pPr>
        <w:ind w:left="6480"/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noProof/>
          <w:color w:val="2E74B5" w:themeColor="accent1" w:themeShade="BF"/>
          <w:sz w:val="32"/>
          <w:szCs w:val="32"/>
          <w:u w:val="single"/>
          <w:lang w:eastAsia="en-GB"/>
        </w:rPr>
        <w:drawing>
          <wp:inline distT="0" distB="0" distL="0" distR="0" wp14:anchorId="30EEF231" wp14:editId="7AFDC0E1">
            <wp:extent cx="1959610" cy="13228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rence Logo low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92" cy="134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2CBC4" w14:textId="58998A53" w:rsidR="0025646E" w:rsidRDefault="00E75D58" w:rsidP="54AD11BD">
      <w:pPr>
        <w:rPr>
          <w:b/>
          <w:bCs/>
          <w:color w:val="2E74B5" w:themeColor="accent1" w:themeShade="BF"/>
          <w:sz w:val="32"/>
          <w:szCs w:val="32"/>
          <w:u w:val="single"/>
        </w:rPr>
      </w:pPr>
      <w:r>
        <w:rPr>
          <w:b/>
          <w:bCs/>
          <w:color w:val="2E74B5" w:themeColor="accent1" w:themeShade="BF"/>
          <w:sz w:val="32"/>
          <w:szCs w:val="32"/>
          <w:u w:val="single"/>
        </w:rPr>
        <w:t>LUPC &amp; SUPC Conference 2018</w:t>
      </w:r>
      <w:r w:rsidR="0025646E" w:rsidRPr="54AD11BD">
        <w:rPr>
          <w:b/>
          <w:bCs/>
          <w:color w:val="2E74B5" w:themeColor="accent1" w:themeShade="BF"/>
          <w:sz w:val="32"/>
          <w:szCs w:val="32"/>
          <w:u w:val="single"/>
        </w:rPr>
        <w:t xml:space="preserve"> - Additional Sponsorship &amp; Advertising Opportunities</w:t>
      </w:r>
      <w:r w:rsidR="0025646E" w:rsidRP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  <w:r w:rsidR="0025646E">
        <w:rPr>
          <w:b/>
          <w:color w:val="2E74B5" w:themeColor="accent1" w:themeShade="BF"/>
          <w:sz w:val="32"/>
          <w:szCs w:val="32"/>
        </w:rPr>
        <w:tab/>
      </w:r>
    </w:p>
    <w:p w14:paraId="2A6B2C8C" w14:textId="55F8DD27" w:rsidR="00EE1AD5" w:rsidRDefault="54AD11BD">
      <w:r>
        <w:t xml:space="preserve">LUPC and SUPC are able to offer confirmed Exhibitors a number of additional advertising, promotion and sponsorship opportunities at our Conference on </w:t>
      </w:r>
      <w:r w:rsidR="00E75D58">
        <w:t>Thursday</w:t>
      </w:r>
      <w:r>
        <w:t xml:space="preserve"> 24</w:t>
      </w:r>
      <w:r w:rsidRPr="54AD11BD">
        <w:rPr>
          <w:vertAlign w:val="superscript"/>
        </w:rPr>
        <w:t>th</w:t>
      </w:r>
      <w:r>
        <w:t xml:space="preserve"> May. </w:t>
      </w:r>
    </w:p>
    <w:p w14:paraId="16A3E16D" w14:textId="5D25D575" w:rsidR="00D33AB7" w:rsidRDefault="54AD11BD">
      <w:r>
        <w:t>The ‘Further Information’ section at the bottom of these pages should help familiarise you with room and exhibition locations.</w:t>
      </w:r>
    </w:p>
    <w:p w14:paraId="3F1002E8" w14:textId="39186E4F" w:rsidR="006C23AE" w:rsidRPr="00E75D58" w:rsidRDefault="54AD11BD">
      <w:pPr>
        <w:rPr>
          <w:i/>
          <w:iCs/>
        </w:rPr>
      </w:pPr>
      <w:r w:rsidRPr="54AD11BD">
        <w:rPr>
          <w:i/>
          <w:iCs/>
        </w:rPr>
        <w:t>Please note, all advertising and promotion at the Conference must reflect your status on the agreement, and not be used to promote off-contract goods and services.</w:t>
      </w:r>
    </w:p>
    <w:p w14:paraId="2768B857" w14:textId="77777777" w:rsidR="00E75D58" w:rsidRDefault="00E75D58" w:rsidP="54AD11BD">
      <w:pPr>
        <w:rPr>
          <w:b/>
          <w:bCs/>
          <w:sz w:val="32"/>
          <w:szCs w:val="32"/>
          <w:u w:val="single"/>
        </w:rPr>
      </w:pPr>
    </w:p>
    <w:p w14:paraId="644C5B57" w14:textId="3C5A02D5" w:rsidR="006C23AE" w:rsidRPr="00135EBD" w:rsidRDefault="54AD11BD" w:rsidP="54AD11BD">
      <w:pPr>
        <w:rPr>
          <w:b/>
          <w:bCs/>
          <w:sz w:val="32"/>
          <w:szCs w:val="32"/>
          <w:u w:val="single"/>
        </w:rPr>
      </w:pPr>
      <w:r w:rsidRPr="54AD11BD">
        <w:rPr>
          <w:b/>
          <w:bCs/>
          <w:sz w:val="32"/>
          <w:szCs w:val="32"/>
          <w:u w:val="single"/>
        </w:rPr>
        <w:t xml:space="preserve">Conference programme </w:t>
      </w:r>
    </w:p>
    <w:p w14:paraId="48A14591" w14:textId="329A682D" w:rsidR="00D33AB7" w:rsidRPr="00E75D58" w:rsidRDefault="54AD11BD">
      <w:r>
        <w:t>Our 20-page printed Conference programme will be provided to 250+ delegates, with opportunities for paid-for advertising and sponsorship as follows:</w:t>
      </w:r>
    </w:p>
    <w:p w14:paraId="6059095F" w14:textId="0A28452E" w:rsidR="006C23AE" w:rsidRPr="004D26E6" w:rsidRDefault="54AD11BD" w:rsidP="54AD11BD">
      <w:pPr>
        <w:pStyle w:val="ListParagraph"/>
        <w:numPr>
          <w:ilvl w:val="0"/>
          <w:numId w:val="2"/>
        </w:numPr>
        <w:rPr>
          <w:b/>
          <w:bCs/>
          <w:i/>
          <w:iCs/>
          <w:color w:val="58C87D"/>
          <w:sz w:val="32"/>
          <w:szCs w:val="32"/>
        </w:rPr>
      </w:pPr>
      <w:r w:rsidRPr="54AD11BD">
        <w:rPr>
          <w:b/>
          <w:bCs/>
          <w:i/>
          <w:iCs/>
          <w:color w:val="58C87D"/>
          <w:sz w:val="32"/>
          <w:szCs w:val="32"/>
        </w:rPr>
        <w:t>Programme sponsorship – single opportunity</w:t>
      </w:r>
    </w:p>
    <w:p w14:paraId="0F7BB3A8" w14:textId="412C0BC1" w:rsidR="00161D13" w:rsidRDefault="54AD11BD" w:rsidP="00161D13">
      <w:r>
        <w:t>Full programme sponsorship – an inside full page advert (worth £1000 + VAT) plus your logo and sponsor status displayed prominently on the front cover.</w:t>
      </w:r>
    </w:p>
    <w:p w14:paraId="3CC4E920" w14:textId="3174A1F2" w:rsidR="00EE1AD5" w:rsidRPr="00E75D58" w:rsidRDefault="54AD11BD" w:rsidP="00161D13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£2,250 + VAT</w:t>
      </w:r>
    </w:p>
    <w:p w14:paraId="5CA30341" w14:textId="77777777" w:rsidR="00161D13" w:rsidRDefault="00161D13" w:rsidP="00161D13">
      <w:pPr>
        <w:pStyle w:val="ListParagraph"/>
      </w:pPr>
    </w:p>
    <w:p w14:paraId="51EB3CF2" w14:textId="5641A2F9" w:rsidR="00161D13" w:rsidRPr="004D26E6" w:rsidRDefault="54AD11BD" w:rsidP="54AD11BD">
      <w:pPr>
        <w:pStyle w:val="ListParagraph"/>
        <w:numPr>
          <w:ilvl w:val="0"/>
          <w:numId w:val="2"/>
        </w:numPr>
        <w:rPr>
          <w:b/>
          <w:bCs/>
          <w:i/>
          <w:iCs/>
          <w:color w:val="5FC18B"/>
          <w:sz w:val="32"/>
          <w:szCs w:val="32"/>
        </w:rPr>
      </w:pPr>
      <w:r w:rsidRPr="54AD11BD">
        <w:rPr>
          <w:b/>
          <w:bCs/>
          <w:i/>
          <w:iCs/>
          <w:color w:val="5FC18B"/>
          <w:sz w:val="32"/>
          <w:szCs w:val="32"/>
        </w:rPr>
        <w:t>Programme advertising – multiple opportunities</w:t>
      </w:r>
    </w:p>
    <w:p w14:paraId="52C96983" w14:textId="0D184084" w:rsidR="006C23AE" w:rsidRDefault="54AD11BD">
      <w:r>
        <w:t xml:space="preserve">Exhibitors can book additional advertising for inside the Conference programme, at the following rates. </w:t>
      </w:r>
    </w:p>
    <w:p w14:paraId="4675E7C9" w14:textId="55EA1385" w:rsidR="00161D13" w:rsidRDefault="54AD11BD">
      <w:r>
        <w:t xml:space="preserve">Full page A4 advert: </w:t>
      </w:r>
      <w:r w:rsidRPr="54AD11BD">
        <w:rPr>
          <w:b/>
          <w:bCs/>
          <w:color w:val="2E74B5" w:themeColor="accent1" w:themeShade="BF"/>
        </w:rPr>
        <w:t>£1,000 + VAT</w:t>
      </w:r>
    </w:p>
    <w:p w14:paraId="650A9CCC" w14:textId="034FCC99" w:rsidR="004D26E6" w:rsidRPr="00E75D58" w:rsidRDefault="54AD11BD" w:rsidP="006C23AE">
      <w:r>
        <w:t xml:space="preserve">Half page advert: </w:t>
      </w:r>
      <w:r w:rsidRPr="54AD11BD">
        <w:rPr>
          <w:b/>
          <w:bCs/>
          <w:color w:val="2E74B5" w:themeColor="accent1" w:themeShade="BF"/>
        </w:rPr>
        <w:t>£500 + VAT</w:t>
      </w:r>
    </w:p>
    <w:p w14:paraId="5280E5DF" w14:textId="77777777" w:rsidR="006C23AE" w:rsidRPr="00161D13" w:rsidRDefault="54AD11BD" w:rsidP="54AD11BD">
      <w:pPr>
        <w:rPr>
          <w:b/>
          <w:bCs/>
          <w:sz w:val="32"/>
          <w:szCs w:val="32"/>
          <w:u w:val="single"/>
        </w:rPr>
      </w:pPr>
      <w:r w:rsidRPr="54AD11BD">
        <w:rPr>
          <w:b/>
          <w:bCs/>
          <w:sz w:val="32"/>
          <w:szCs w:val="32"/>
          <w:u w:val="single"/>
        </w:rPr>
        <w:lastRenderedPageBreak/>
        <w:t>Screens</w:t>
      </w:r>
    </w:p>
    <w:p w14:paraId="35FF8AAF" w14:textId="0AA3003B" w:rsidR="006C23AE" w:rsidRDefault="54AD11BD" w:rsidP="006C23AE">
      <w:r>
        <w:t>There are various large media walls and screens (16:9 ratio) around the venue which exhibitors would be able to advertise on during the course of the day. These screens are available for hire in the following locations:</w:t>
      </w:r>
    </w:p>
    <w:p w14:paraId="625D98C1" w14:textId="77777777" w:rsidR="005B15E3" w:rsidRDefault="005B15E3" w:rsidP="006C23AE"/>
    <w:p w14:paraId="0E3364A0" w14:textId="29F4607E" w:rsidR="00161D13" w:rsidRPr="004D26E6" w:rsidRDefault="54AD11BD" w:rsidP="54AD11BD">
      <w:pPr>
        <w:pStyle w:val="ListParagraph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 w:rsidRPr="54AD11BD">
        <w:rPr>
          <w:b/>
          <w:bCs/>
          <w:i/>
          <w:iCs/>
          <w:color w:val="58C87D"/>
          <w:sz w:val="32"/>
          <w:szCs w:val="32"/>
        </w:rPr>
        <w:t xml:space="preserve">Premium registration area – multiple opportunities </w:t>
      </w:r>
    </w:p>
    <w:p w14:paraId="0C8789F4" w14:textId="69CC9380" w:rsidR="00161D13" w:rsidRDefault="00161D13" w:rsidP="006C23AE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684379AD" wp14:editId="488337C7">
            <wp:extent cx="3438525" cy="1934123"/>
            <wp:effectExtent l="0" t="0" r="0" b="9525"/>
            <wp:docPr id="12489898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93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EB48" w14:textId="3F20CCD0" w:rsidR="0021437E" w:rsidRDefault="54AD11BD" w:rsidP="006C23AE">
      <w:r>
        <w:t>Right next to our registration, where all 250+ delegates will pass into the Conference venue in the morning, this large media wall is situated in the main Exhibition area and static adverts/images can be displayed all day on rotation with the Conference logo.</w:t>
      </w:r>
    </w:p>
    <w:p w14:paraId="6B0D6C76" w14:textId="28D12D2E" w:rsidR="0021437E" w:rsidRPr="0021437E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£500 + VAT per advert</w:t>
      </w:r>
    </w:p>
    <w:p w14:paraId="39D9977E" w14:textId="77777777" w:rsidR="0021437E" w:rsidRPr="004D26E6" w:rsidRDefault="0021437E" w:rsidP="006C23AE">
      <w:pPr>
        <w:rPr>
          <w:sz w:val="32"/>
          <w:szCs w:val="32"/>
        </w:rPr>
      </w:pPr>
    </w:p>
    <w:p w14:paraId="24DD8CED" w14:textId="3484C872" w:rsidR="005B15E3" w:rsidRPr="004D26E6" w:rsidRDefault="54AD11BD" w:rsidP="54AD11BD">
      <w:pPr>
        <w:pStyle w:val="ListParagraph"/>
        <w:numPr>
          <w:ilvl w:val="0"/>
          <w:numId w:val="1"/>
        </w:numPr>
        <w:rPr>
          <w:b/>
          <w:bCs/>
          <w:i/>
          <w:iCs/>
          <w:color w:val="58C87D"/>
          <w:sz w:val="32"/>
          <w:szCs w:val="32"/>
        </w:rPr>
      </w:pPr>
      <w:r w:rsidRPr="54AD11BD">
        <w:rPr>
          <w:b/>
          <w:bCs/>
          <w:i/>
          <w:iCs/>
          <w:color w:val="58C87D"/>
          <w:sz w:val="32"/>
          <w:szCs w:val="32"/>
        </w:rPr>
        <w:t>Westminster Suite/Exhibition area (all day hire) -  multiple opportunities</w:t>
      </w:r>
    </w:p>
    <w:p w14:paraId="627427F4" w14:textId="79E8F48D" w:rsidR="005B15E3" w:rsidRPr="005B15E3" w:rsidRDefault="005B15E3" w:rsidP="006C23AE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78FAAC9F" wp14:editId="051E3120">
            <wp:extent cx="3467100" cy="1950195"/>
            <wp:effectExtent l="0" t="0" r="0" b="0"/>
            <wp:docPr id="10299879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1A901" w14:textId="685E2525" w:rsidR="0021437E" w:rsidRPr="00D33AB7" w:rsidRDefault="54AD11BD" w:rsidP="0021437E">
      <w:r>
        <w:t>The smaller room of the Exhibition leads on to a balcony, and static adverts/images can be displayed all day on the Westminster Suite’s single drop down screen.</w:t>
      </w:r>
    </w:p>
    <w:p w14:paraId="767FB04E" w14:textId="77777777" w:rsidR="004D26E6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£500 + VAT per advert</w:t>
      </w:r>
    </w:p>
    <w:p w14:paraId="58AD2EA1" w14:textId="4A3A3589" w:rsidR="006B18D4" w:rsidRPr="004D26E6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sz w:val="32"/>
          <w:szCs w:val="32"/>
          <w:u w:val="single"/>
        </w:rPr>
        <w:lastRenderedPageBreak/>
        <w:t>Rooms – hire and sponsorship</w:t>
      </w:r>
    </w:p>
    <w:p w14:paraId="339C3F1F" w14:textId="55941000" w:rsidR="00EE1AD5" w:rsidRPr="004D26E6" w:rsidRDefault="54AD11BD" w:rsidP="54AD11BD">
      <w:pPr>
        <w:pStyle w:val="ListParagraph"/>
        <w:numPr>
          <w:ilvl w:val="0"/>
          <w:numId w:val="4"/>
        </w:numPr>
        <w:rPr>
          <w:b/>
          <w:bCs/>
          <w:i/>
          <w:iCs/>
          <w:color w:val="58C87D"/>
          <w:sz w:val="32"/>
          <w:szCs w:val="32"/>
        </w:rPr>
      </w:pPr>
      <w:r w:rsidRPr="54AD11BD">
        <w:rPr>
          <w:b/>
          <w:bCs/>
          <w:i/>
          <w:iCs/>
          <w:color w:val="58C87D"/>
          <w:sz w:val="32"/>
          <w:szCs w:val="32"/>
        </w:rPr>
        <w:t>County Suite sponsorship (all day) – single opportunity</w:t>
      </w:r>
    </w:p>
    <w:p w14:paraId="677BAB5B" w14:textId="77777777" w:rsidR="00CB2966" w:rsidRDefault="00CB2966" w:rsidP="00CB2966">
      <w:pPr>
        <w:pStyle w:val="ListParagraph"/>
        <w:rPr>
          <w:b/>
          <w:i/>
          <w:color w:val="58C87D"/>
        </w:rPr>
      </w:pPr>
    </w:p>
    <w:p w14:paraId="480B151F" w14:textId="05040A25" w:rsidR="00CB2966" w:rsidRPr="00CB2966" w:rsidRDefault="00CB2966" w:rsidP="00CB2966">
      <w:pPr>
        <w:rPr>
          <w:b/>
          <w:i/>
          <w:color w:val="58C87D"/>
        </w:rPr>
      </w:pPr>
      <w:r>
        <w:rPr>
          <w:noProof/>
          <w:lang w:eastAsia="en-GB"/>
        </w:rPr>
        <w:drawing>
          <wp:inline distT="0" distB="0" distL="0" distR="0" wp14:anchorId="0705E45E" wp14:editId="44BCEB5F">
            <wp:extent cx="3467100" cy="1950196"/>
            <wp:effectExtent l="0" t="0" r="0" b="0"/>
            <wp:docPr id="13693437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5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8725F" w14:textId="77777777" w:rsidR="00135EBD" w:rsidRDefault="00135EBD" w:rsidP="00135EBD">
      <w:pPr>
        <w:pStyle w:val="ListParagraph"/>
        <w:rPr>
          <w:b/>
          <w:i/>
        </w:rPr>
      </w:pPr>
    </w:p>
    <w:p w14:paraId="43762BE3" w14:textId="02C477F6" w:rsidR="006B18D4" w:rsidRDefault="54AD11BD" w:rsidP="004D26E6">
      <w:r>
        <w:t>A single exhibitor will be able to sponsor the County Hall Suite, used for the main plenary sessions attracting 250+ delegates, plus larger breakout sessions (50 people +) all day. This sponsorship will include:</w:t>
      </w:r>
    </w:p>
    <w:p w14:paraId="6B6AA61F" w14:textId="77777777" w:rsidR="00EE1AD5" w:rsidRPr="00EE1AD5" w:rsidRDefault="00EE1AD5" w:rsidP="00EE1AD5">
      <w:pPr>
        <w:pStyle w:val="ListParagraph"/>
        <w:rPr>
          <w:b/>
          <w:i/>
        </w:rPr>
      </w:pPr>
    </w:p>
    <w:p w14:paraId="75E255E0" w14:textId="22CA9CAB" w:rsidR="006B18D4" w:rsidRDefault="54AD11BD" w:rsidP="006B18D4">
      <w:pPr>
        <w:pStyle w:val="ListParagraph"/>
        <w:numPr>
          <w:ilvl w:val="0"/>
          <w:numId w:val="5"/>
        </w:numPr>
      </w:pPr>
      <w:r>
        <w:t>Ability to display a roller banner (provided by exhibitor) near delegate entrance to the County Suite.</w:t>
      </w:r>
    </w:p>
    <w:p w14:paraId="1364F2FD" w14:textId="00F9C3C5" w:rsidR="006B18D4" w:rsidRDefault="54AD11BD" w:rsidP="006B18D4">
      <w:pPr>
        <w:pStyle w:val="ListParagraph"/>
        <w:numPr>
          <w:ilvl w:val="0"/>
          <w:numId w:val="5"/>
        </w:numPr>
      </w:pPr>
      <w:r>
        <w:t>Lectern sponsorship - your logo displayed on lectern alongside Conference logo (provided by LUPC &amp; SUPC)</w:t>
      </w:r>
    </w:p>
    <w:p w14:paraId="08D7FB11" w14:textId="7EC3F79F" w:rsidR="006B18D4" w:rsidRDefault="54AD11BD" w:rsidP="006B18D4">
      <w:pPr>
        <w:pStyle w:val="ListParagraph"/>
        <w:numPr>
          <w:ilvl w:val="0"/>
          <w:numId w:val="5"/>
        </w:numPr>
      </w:pPr>
      <w:r>
        <w:t>Small leaflet distributed on delegate seats at start of the day (provided by exhibitor in advance)</w:t>
      </w:r>
    </w:p>
    <w:p w14:paraId="11480AE1" w14:textId="3E2702C2" w:rsidR="006B18D4" w:rsidRDefault="54AD11BD" w:rsidP="006B18D4">
      <w:pPr>
        <w:pStyle w:val="ListParagraph"/>
        <w:numPr>
          <w:ilvl w:val="0"/>
          <w:numId w:val="5"/>
        </w:numPr>
      </w:pPr>
      <w:r>
        <w:t>Screens will be used for presentations during plenary sessions, but adverts and images can be displayed as all delegates enter these sessions (digital image/advert supplied by exhibitor to spec).</w:t>
      </w:r>
    </w:p>
    <w:p w14:paraId="13D62498" w14:textId="533F5070" w:rsidR="006B18D4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£3,000 + VAT</w:t>
      </w:r>
    </w:p>
    <w:p w14:paraId="4B967300" w14:textId="3E9476CA" w:rsidR="54AD11BD" w:rsidRDefault="54AD11BD" w:rsidP="54AD11BD">
      <w:pPr>
        <w:rPr>
          <w:b/>
          <w:bCs/>
          <w:color w:val="2E74B5" w:themeColor="accent1" w:themeShade="BF"/>
        </w:rPr>
      </w:pPr>
    </w:p>
    <w:p w14:paraId="5B1FA8C4" w14:textId="46D5943D" w:rsidR="54AD11BD" w:rsidRDefault="54AD11BD" w:rsidP="54AD11BD">
      <w:pPr>
        <w:pStyle w:val="ListParagraph"/>
        <w:numPr>
          <w:ilvl w:val="0"/>
          <w:numId w:val="4"/>
        </w:numPr>
        <w:rPr>
          <w:rFonts w:eastAsiaTheme="minorEastAsia"/>
          <w:color w:val="58C87D"/>
          <w:sz w:val="32"/>
          <w:szCs w:val="32"/>
        </w:rPr>
      </w:pPr>
      <w:r w:rsidRPr="54AD11BD">
        <w:rPr>
          <w:b/>
          <w:bCs/>
          <w:i/>
          <w:iCs/>
          <w:color w:val="58C87D"/>
          <w:sz w:val="32"/>
          <w:szCs w:val="32"/>
        </w:rPr>
        <w:t>Lords 1, 2, 3 breakout room sponsorship (all day) – multiple opportunities</w:t>
      </w:r>
    </w:p>
    <w:p w14:paraId="6FDF6258" w14:textId="7639F98A" w:rsidR="54AD11BD" w:rsidRDefault="54AD11BD">
      <w:r>
        <w:t>Exhibitors will be able to sponsor individual breakout rooms, with the same benefits as listed for County Suite sponsorship. Note, more popular sessions will be allocated the larger Lords rooms.</w:t>
      </w:r>
    </w:p>
    <w:p w14:paraId="20D707FE" w14:textId="7787FB76" w:rsidR="54AD11BD" w:rsidRDefault="54AD11BD" w:rsidP="54AD11BD">
      <w:r w:rsidRPr="54AD11BD">
        <w:rPr>
          <w:b/>
          <w:bCs/>
        </w:rPr>
        <w:t>Lord 1</w:t>
      </w:r>
      <w:r>
        <w:t xml:space="preserve">: Capacity 40 theatre. </w:t>
      </w:r>
    </w:p>
    <w:p w14:paraId="0629F04E" w14:textId="5D294518" w:rsidR="54AD11BD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£750 + VAT</w:t>
      </w:r>
    </w:p>
    <w:p w14:paraId="2BAA7E84" w14:textId="0A353A78" w:rsidR="54AD11BD" w:rsidRDefault="54AD11BD" w:rsidP="54AD11BD">
      <w:r w:rsidRPr="54AD11BD">
        <w:rPr>
          <w:b/>
          <w:bCs/>
        </w:rPr>
        <w:t>Lord 2</w:t>
      </w:r>
      <w:r>
        <w:t xml:space="preserve">: Capacity 60 theatre. </w:t>
      </w:r>
    </w:p>
    <w:p w14:paraId="605A6179" w14:textId="05D99DF7" w:rsidR="54AD11BD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lastRenderedPageBreak/>
        <w:t>£1,100 + VAT</w:t>
      </w:r>
    </w:p>
    <w:p w14:paraId="1E9E8339" w14:textId="2D11E6F5" w:rsidR="54AD11BD" w:rsidRDefault="54AD11BD" w:rsidP="54AD11BD">
      <w:r w:rsidRPr="54AD11BD">
        <w:rPr>
          <w:b/>
          <w:bCs/>
        </w:rPr>
        <w:t>Lord 3</w:t>
      </w:r>
      <w:r>
        <w:t xml:space="preserve">: Capacity theatre 70. </w:t>
      </w:r>
    </w:p>
    <w:p w14:paraId="37145626" w14:textId="693A0C13" w:rsidR="54AD11BD" w:rsidRDefault="54AD11BD" w:rsidP="54AD11BD">
      <w:pPr>
        <w:rPr>
          <w:b/>
          <w:bCs/>
          <w:color w:val="2E74B5" w:themeColor="accent1" w:themeShade="BF"/>
        </w:rPr>
      </w:pPr>
      <w:r w:rsidRPr="54AD11BD">
        <w:rPr>
          <w:b/>
          <w:bCs/>
          <w:color w:val="2E74B5" w:themeColor="accent1" w:themeShade="BF"/>
        </w:rPr>
        <w:t>£1,300 + VAT</w:t>
      </w:r>
    </w:p>
    <w:p w14:paraId="1F7C37AD" w14:textId="2D196D40" w:rsidR="00562567" w:rsidRPr="00E75D58" w:rsidRDefault="00E75D58" w:rsidP="54AD11BD">
      <w:pPr>
        <w:rPr>
          <w:color w:val="000000" w:themeColor="text1"/>
        </w:rPr>
      </w:pPr>
      <w:r w:rsidRPr="00E75D58">
        <w:rPr>
          <w:color w:val="000000" w:themeColor="text1"/>
        </w:rPr>
        <w:t xml:space="preserve">For a conversation on which </w:t>
      </w:r>
      <w:r>
        <w:rPr>
          <w:color w:val="000000" w:themeColor="text1"/>
        </w:rPr>
        <w:t>workshop topics</w:t>
      </w:r>
      <w:r w:rsidRPr="00E75D58">
        <w:rPr>
          <w:color w:val="000000" w:themeColor="text1"/>
        </w:rPr>
        <w:t xml:space="preserve"> will be in which rooms (currently tbc) please contact </w:t>
      </w:r>
      <w:hyperlink r:id="rId14" w:history="1">
        <w:r w:rsidRPr="00E75D58">
          <w:rPr>
            <w:rStyle w:val="Hyperlink"/>
          </w:rPr>
          <w:t>Laura Compton</w:t>
        </w:r>
      </w:hyperlink>
      <w:r w:rsidRPr="00E75D58">
        <w:rPr>
          <w:color w:val="000000" w:themeColor="text1"/>
        </w:rPr>
        <w:t>, t: 020 7307 2766</w:t>
      </w:r>
      <w:r w:rsidR="54AD11BD" w:rsidRPr="54AD11BD">
        <w:rPr>
          <w:b/>
          <w:bCs/>
          <w:sz w:val="32"/>
          <w:szCs w:val="32"/>
          <w:u w:val="single"/>
        </w:rPr>
        <w:t>How to book</w:t>
      </w:r>
    </w:p>
    <w:p w14:paraId="0A8101DC" w14:textId="3F4EC8B6" w:rsidR="00D33AB7" w:rsidRPr="00220105" w:rsidRDefault="54AD11BD">
      <w:pPr>
        <w:rPr>
          <w:b/>
          <w:bCs/>
          <w:i/>
          <w:iCs/>
          <w:sz w:val="32"/>
          <w:szCs w:val="32"/>
          <w:u w:val="single"/>
        </w:rPr>
      </w:pPr>
      <w:r>
        <w:t xml:space="preserve">For further information and to book, please contact </w:t>
      </w:r>
      <w:hyperlink r:id="rId15">
        <w:r w:rsidRPr="54AD11BD">
          <w:rPr>
            <w:rStyle w:val="Hyperlink"/>
          </w:rPr>
          <w:t>Laura Compton</w:t>
        </w:r>
      </w:hyperlink>
      <w:r>
        <w:t>, LUPC Assistant Director (Membership), t: 020 7307 2766. Sponsorship will be allocated on a first come, first served basis. Your sponsorship will not be secure until payment is received in advance of the event.</w:t>
      </w:r>
    </w:p>
    <w:p w14:paraId="51DBD294" w14:textId="1970A9DF" w:rsidR="00562567" w:rsidRDefault="54AD11BD" w:rsidP="54AD11BD">
      <w:pPr>
        <w:rPr>
          <w:b/>
          <w:bCs/>
          <w:sz w:val="32"/>
          <w:szCs w:val="32"/>
          <w:u w:val="single"/>
        </w:rPr>
      </w:pPr>
      <w:r w:rsidRPr="54AD11BD">
        <w:rPr>
          <w:b/>
          <w:bCs/>
          <w:sz w:val="32"/>
          <w:szCs w:val="32"/>
          <w:u w:val="single"/>
        </w:rPr>
        <w:t>Further information</w:t>
      </w:r>
    </w:p>
    <w:p w14:paraId="3D1EC1A0" w14:textId="6AA17AC4" w:rsidR="00135EBD" w:rsidRPr="002E12DB" w:rsidRDefault="002E12DB">
      <w:pPr>
        <w:rPr>
          <w:rStyle w:val="Hyperlink"/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"http://www.lupc.ac.uk/sites/default/files/LUPC%20and%20SUPC%20Exhibition%202018%20floorplan%2015.2.18.pdf"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135EBD" w:rsidRPr="002E12DB">
        <w:rPr>
          <w:rStyle w:val="Hyperlink"/>
          <w:b/>
          <w:i/>
        </w:rPr>
        <w:t>Exhibition floor pl</w:t>
      </w:r>
      <w:bookmarkStart w:id="0" w:name="_GoBack"/>
      <w:bookmarkEnd w:id="0"/>
      <w:r w:rsidR="00135EBD" w:rsidRPr="002E12DB">
        <w:rPr>
          <w:rStyle w:val="Hyperlink"/>
          <w:b/>
          <w:i/>
        </w:rPr>
        <w:t>a</w:t>
      </w:r>
      <w:r w:rsidR="00135EBD" w:rsidRPr="002E12DB">
        <w:rPr>
          <w:rStyle w:val="Hyperlink"/>
          <w:b/>
          <w:i/>
        </w:rPr>
        <w:t>n</w:t>
      </w:r>
    </w:p>
    <w:p w14:paraId="703AC3A6" w14:textId="2600AB05" w:rsidR="00562567" w:rsidRDefault="002E12DB">
      <w:pPr>
        <w:rPr>
          <w:b/>
          <w:i/>
        </w:rPr>
      </w:pPr>
      <w:r>
        <w:rPr>
          <w:b/>
          <w:i/>
        </w:rPr>
        <w:fldChar w:fldCharType="end"/>
      </w:r>
      <w:hyperlink r:id="rId16" w:history="1">
        <w:r w:rsidR="00562567" w:rsidRPr="00562567">
          <w:rPr>
            <w:rStyle w:val="Hyperlink"/>
            <w:b/>
            <w:i/>
          </w:rPr>
          <w:t>Venue fl</w:t>
        </w:r>
        <w:r w:rsidR="00562567" w:rsidRPr="00562567">
          <w:rPr>
            <w:rStyle w:val="Hyperlink"/>
            <w:b/>
            <w:i/>
          </w:rPr>
          <w:t>o</w:t>
        </w:r>
        <w:r w:rsidR="00562567" w:rsidRPr="00562567">
          <w:rPr>
            <w:rStyle w:val="Hyperlink"/>
            <w:b/>
            <w:i/>
          </w:rPr>
          <w:t>or plan</w:t>
        </w:r>
      </w:hyperlink>
    </w:p>
    <w:p w14:paraId="1231186F" w14:textId="4C76B1B4" w:rsidR="00D33AB7" w:rsidRDefault="54AD11BD">
      <w:r>
        <w:t>Note: County Suite (plenary area</w:t>
      </w:r>
      <w:r w:rsidR="00220105">
        <w:t xml:space="preserve"> and largest breakout room</w:t>
      </w:r>
      <w:r>
        <w:t>); Thames Suite (exhibition area); Lords 1-3 (breakout rooms); Speakers Event Space and Coade Room (drinks reception).</w:t>
      </w:r>
    </w:p>
    <w:p w14:paraId="0EF14867" w14:textId="7BFC3C57" w:rsidR="00D33AB7" w:rsidRDefault="54AD11BD">
      <w:r>
        <w:t>Delegates enter and leave via the Reception (left of floorplan), and morning registration takes place in the corner space to the right of the floorplan (top right of Thames Suite).</w:t>
      </w:r>
    </w:p>
    <w:sectPr w:rsidR="00D33AB7" w:rsidSect="0025646E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45F98" w14:textId="77777777" w:rsidR="00C61851" w:rsidRDefault="00C61851" w:rsidP="0025646E">
      <w:pPr>
        <w:spacing w:after="0" w:line="240" w:lineRule="auto"/>
      </w:pPr>
      <w:r>
        <w:separator/>
      </w:r>
    </w:p>
  </w:endnote>
  <w:endnote w:type="continuationSeparator" w:id="0">
    <w:p w14:paraId="646401C6" w14:textId="77777777" w:rsidR="00C61851" w:rsidRDefault="00C61851" w:rsidP="002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A879" w14:textId="77777777" w:rsidR="00C61851" w:rsidRDefault="00C61851" w:rsidP="0025646E">
      <w:pPr>
        <w:spacing w:after="0" w:line="240" w:lineRule="auto"/>
      </w:pPr>
      <w:r>
        <w:separator/>
      </w:r>
    </w:p>
  </w:footnote>
  <w:footnote w:type="continuationSeparator" w:id="0">
    <w:p w14:paraId="79E1CC8A" w14:textId="77777777" w:rsidR="00C61851" w:rsidRDefault="00C61851" w:rsidP="0025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EF8"/>
    <w:multiLevelType w:val="hybridMultilevel"/>
    <w:tmpl w:val="CFCA2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956"/>
    <w:multiLevelType w:val="hybridMultilevel"/>
    <w:tmpl w:val="4EB84B3E"/>
    <w:lvl w:ilvl="0" w:tplc="E0E41504">
      <w:start w:val="1"/>
      <w:numFmt w:val="decimal"/>
      <w:lvlText w:val="%1."/>
      <w:lvlJc w:val="left"/>
      <w:pPr>
        <w:ind w:left="720" w:hanging="360"/>
      </w:pPr>
      <w:rPr>
        <w:b/>
        <w:i/>
        <w:color w:val="58C8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71AA9"/>
    <w:multiLevelType w:val="hybridMultilevel"/>
    <w:tmpl w:val="C9762DEA"/>
    <w:lvl w:ilvl="0" w:tplc="63AACC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1F6"/>
    <w:multiLevelType w:val="hybridMultilevel"/>
    <w:tmpl w:val="72188A22"/>
    <w:lvl w:ilvl="0" w:tplc="A2A4FFB2">
      <w:start w:val="1"/>
      <w:numFmt w:val="decimal"/>
      <w:lvlText w:val="%1."/>
      <w:lvlJc w:val="left"/>
      <w:pPr>
        <w:ind w:left="720" w:hanging="360"/>
      </w:pPr>
      <w:rPr>
        <w:rFonts w:hint="default"/>
        <w:color w:val="58C8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1A5"/>
    <w:multiLevelType w:val="hybridMultilevel"/>
    <w:tmpl w:val="B4A817F4"/>
    <w:lvl w:ilvl="0" w:tplc="B2B08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00BE0"/>
    <w:multiLevelType w:val="hybridMultilevel"/>
    <w:tmpl w:val="0E08AD2C"/>
    <w:lvl w:ilvl="0" w:tplc="E3608ABC">
      <w:start w:val="1"/>
      <w:numFmt w:val="decimal"/>
      <w:lvlText w:val="%1."/>
      <w:lvlJc w:val="left"/>
      <w:pPr>
        <w:ind w:left="720" w:hanging="360"/>
      </w:pPr>
      <w:rPr>
        <w:rFonts w:hint="default"/>
        <w:color w:val="5FC18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5C"/>
    <w:rsid w:val="00135EBD"/>
    <w:rsid w:val="001605C1"/>
    <w:rsid w:val="00161D13"/>
    <w:rsid w:val="0021437E"/>
    <w:rsid w:val="00220105"/>
    <w:rsid w:val="0025646E"/>
    <w:rsid w:val="00292229"/>
    <w:rsid w:val="002E12DB"/>
    <w:rsid w:val="00313839"/>
    <w:rsid w:val="004D26E6"/>
    <w:rsid w:val="00562567"/>
    <w:rsid w:val="005B15E3"/>
    <w:rsid w:val="0063445C"/>
    <w:rsid w:val="006B18D4"/>
    <w:rsid w:val="006C23AE"/>
    <w:rsid w:val="00911553"/>
    <w:rsid w:val="009C7743"/>
    <w:rsid w:val="00AA6A45"/>
    <w:rsid w:val="00AA6A6B"/>
    <w:rsid w:val="00C61851"/>
    <w:rsid w:val="00CB2966"/>
    <w:rsid w:val="00D33AB7"/>
    <w:rsid w:val="00DE1FB9"/>
    <w:rsid w:val="00E33F96"/>
    <w:rsid w:val="00E75D58"/>
    <w:rsid w:val="00EA022F"/>
    <w:rsid w:val="00EE1AD5"/>
    <w:rsid w:val="54A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79AF"/>
  <w15:chartTrackingRefBased/>
  <w15:docId w15:val="{67FE75D7-E68B-45AC-A679-A02CCDA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6E"/>
  </w:style>
  <w:style w:type="paragraph" w:styleId="Footer">
    <w:name w:val="footer"/>
    <w:basedOn w:val="Normal"/>
    <w:link w:val="FooterChar"/>
    <w:uiPriority w:val="99"/>
    <w:unhideWhenUsed/>
    <w:rsid w:val="00256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6E"/>
  </w:style>
  <w:style w:type="character" w:styleId="FollowedHyperlink">
    <w:name w:val="FollowedHyperlink"/>
    <w:basedOn w:val="DefaultParagraphFont"/>
    <w:uiPriority w:val="99"/>
    <w:semiHidden/>
    <w:unhideWhenUsed/>
    <w:rsid w:val="00D33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tcvenues.co.uk/files/download/county-hall/17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l.compton@lupc.ac.uk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.compton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0" ma:contentTypeDescription="Create a new document." ma:contentTypeScope="" ma:versionID="451ab057681cd9ab82615f06c304b822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66733990f710d15a7fcda1c13e7a8d34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E20FA-5FD2-4D76-89DE-E0F50FF91B5F}">
  <ds:schemaRefs>
    <ds:schemaRef ds:uri="14f49aad-fed7-478f-a961-ee1cdb6740b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31eece54-7cdf-4edd-87c9-be3ede784fed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50911A-EFD1-4753-AADF-5D26FA749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C85F8-35D5-44FC-AA93-86DE1492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Compton</dc:creator>
  <cp:keywords/>
  <dc:description/>
  <cp:lastModifiedBy>Laura Compton</cp:lastModifiedBy>
  <cp:revision>4</cp:revision>
  <dcterms:created xsi:type="dcterms:W3CDTF">2018-02-16T09:14:00Z</dcterms:created>
  <dcterms:modified xsi:type="dcterms:W3CDTF">2018-02-16T09:21:00Z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0x0101002C675C209A44F2448DECFD3CBEDE6D34</vt:lpwstr>
  </property>
</Properties>
</file>